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66D0" w:rsidRPr="001D66D0" w:rsidRDefault="00390223" w:rsidP="001D66D0">
      <w:pPr>
        <w:jc w:val="right"/>
        <w:rPr>
          <w:sz w:val="24"/>
          <w:szCs w:val="24"/>
        </w:rPr>
      </w:pPr>
      <w:bookmarkStart w:id="0" w:name="_Toc54451385"/>
      <w:bookmarkStart w:id="1" w:name="_Toc54646414"/>
      <w:bookmarkStart w:id="2" w:name="_Hlk48224758"/>
      <w:r w:rsidRPr="001D66D0">
        <w:rPr>
          <w:sz w:val="24"/>
          <w:szCs w:val="24"/>
        </w:rPr>
        <w:t xml:space="preserve">Приложение № </w:t>
      </w:r>
      <w:r w:rsidR="008331AD">
        <w:rPr>
          <w:sz w:val="24"/>
          <w:szCs w:val="24"/>
        </w:rPr>
        <w:t>10</w:t>
      </w:r>
      <w:bookmarkStart w:id="3" w:name="_GoBack"/>
      <w:bookmarkEnd w:id="3"/>
      <w:r w:rsidRPr="001D66D0">
        <w:rPr>
          <w:sz w:val="24"/>
          <w:szCs w:val="24"/>
        </w:rPr>
        <w:t xml:space="preserve"> к ТТ</w:t>
      </w:r>
      <w:r w:rsidR="001D66D0" w:rsidRPr="001D66D0">
        <w:rPr>
          <w:sz w:val="24"/>
          <w:szCs w:val="24"/>
        </w:rPr>
        <w:t xml:space="preserve"> на монтаж систем </w:t>
      </w:r>
    </w:p>
    <w:p w:rsidR="001D66D0" w:rsidRPr="001D66D0" w:rsidRDefault="001D66D0" w:rsidP="001D66D0">
      <w:pPr>
        <w:jc w:val="right"/>
        <w:rPr>
          <w:sz w:val="24"/>
          <w:szCs w:val="24"/>
        </w:rPr>
      </w:pPr>
      <w:r w:rsidRPr="001D66D0">
        <w:rPr>
          <w:sz w:val="24"/>
          <w:szCs w:val="24"/>
        </w:rPr>
        <w:t xml:space="preserve">безопасности на объектах </w:t>
      </w:r>
    </w:p>
    <w:p w:rsidR="001D66D0" w:rsidRPr="001D66D0" w:rsidRDefault="001D66D0" w:rsidP="001D66D0">
      <w:pPr>
        <w:jc w:val="right"/>
        <w:rPr>
          <w:sz w:val="24"/>
          <w:szCs w:val="24"/>
        </w:rPr>
      </w:pPr>
      <w:r w:rsidRPr="001D66D0">
        <w:rPr>
          <w:sz w:val="24"/>
          <w:szCs w:val="24"/>
        </w:rPr>
        <w:t xml:space="preserve">энергосистемы </w:t>
      </w:r>
    </w:p>
    <w:p w:rsidR="001D66D0" w:rsidRPr="001D66D0" w:rsidRDefault="001D66D0" w:rsidP="001D66D0">
      <w:pPr>
        <w:jc w:val="right"/>
        <w:rPr>
          <w:sz w:val="24"/>
          <w:szCs w:val="24"/>
        </w:rPr>
      </w:pPr>
      <w:r w:rsidRPr="001D66D0">
        <w:rPr>
          <w:sz w:val="24"/>
          <w:szCs w:val="24"/>
        </w:rPr>
        <w:t>для филиала «АЭС»</w:t>
      </w:r>
    </w:p>
    <w:p w:rsidR="00390223" w:rsidRPr="001D66D0" w:rsidRDefault="00390223" w:rsidP="00390223">
      <w:pPr>
        <w:pStyle w:val="1"/>
        <w:keepLines/>
        <w:numPr>
          <w:ilvl w:val="0"/>
          <w:numId w:val="0"/>
        </w:numPr>
        <w:ind w:left="357"/>
        <w:jc w:val="right"/>
        <w:rPr>
          <w:sz w:val="24"/>
          <w:szCs w:val="24"/>
          <w:lang w:val="ru-RU"/>
        </w:rPr>
      </w:pPr>
    </w:p>
    <w:p w:rsidR="00390223" w:rsidRDefault="00390223" w:rsidP="00390223">
      <w:pPr>
        <w:pStyle w:val="1"/>
        <w:keepLines/>
        <w:numPr>
          <w:ilvl w:val="0"/>
          <w:numId w:val="0"/>
        </w:numPr>
        <w:ind w:left="357"/>
        <w:jc w:val="center"/>
      </w:pPr>
    </w:p>
    <w:p w:rsidR="00390223" w:rsidRDefault="00390223" w:rsidP="00390223">
      <w:pPr>
        <w:pStyle w:val="1"/>
        <w:keepLines/>
        <w:numPr>
          <w:ilvl w:val="0"/>
          <w:numId w:val="0"/>
        </w:numPr>
        <w:ind w:left="357"/>
        <w:jc w:val="center"/>
      </w:pPr>
      <w:r w:rsidRPr="00AD3FFF">
        <w:t>Требования к оформлению и составлению документации по ценообразованию</w:t>
      </w:r>
      <w:bookmarkEnd w:id="0"/>
      <w:bookmarkEnd w:id="1"/>
    </w:p>
    <w:p w:rsidR="00390223" w:rsidRPr="00B46C95" w:rsidRDefault="00390223" w:rsidP="00390223">
      <w:pPr>
        <w:tabs>
          <w:tab w:val="num" w:pos="1134"/>
        </w:tabs>
        <w:autoSpaceDE w:val="0"/>
        <w:autoSpaceDN w:val="0"/>
        <w:adjustRightInd w:val="0"/>
        <w:ind w:left="567"/>
        <w:jc w:val="both"/>
        <w:rPr>
          <w:snapToGrid w:val="0"/>
          <w:sz w:val="24"/>
          <w:szCs w:val="24"/>
          <w:u w:val="single"/>
        </w:rPr>
      </w:pPr>
    </w:p>
    <w:p w:rsidR="00390223" w:rsidRPr="007800A3" w:rsidRDefault="00390223" w:rsidP="00390223">
      <w:pPr>
        <w:tabs>
          <w:tab w:val="num" w:pos="1134"/>
        </w:tabs>
        <w:autoSpaceDE w:val="0"/>
        <w:autoSpaceDN w:val="0"/>
        <w:adjustRightInd w:val="0"/>
        <w:ind w:firstLine="567"/>
        <w:jc w:val="both"/>
        <w:rPr>
          <w:snapToGrid w:val="0"/>
          <w:sz w:val="24"/>
          <w:szCs w:val="24"/>
          <w:u w:val="single"/>
        </w:rPr>
      </w:pPr>
      <w:r w:rsidRPr="007800A3">
        <w:rPr>
          <w:snapToGrid w:val="0"/>
          <w:sz w:val="24"/>
          <w:szCs w:val="24"/>
        </w:rPr>
        <w:t>Настоящие требования разработаны для единого подхода к оформлению и составлению сметной документации на работы по реконструкции и техническому перевооружению.</w:t>
      </w:r>
    </w:p>
    <w:p w:rsidR="00390223" w:rsidRPr="00B46C95" w:rsidRDefault="00390223" w:rsidP="00390223">
      <w:pPr>
        <w:numPr>
          <w:ilvl w:val="0"/>
          <w:numId w:val="3"/>
        </w:numPr>
        <w:tabs>
          <w:tab w:val="num" w:pos="786"/>
          <w:tab w:val="num" w:pos="1134"/>
        </w:tabs>
        <w:autoSpaceDE w:val="0"/>
        <w:autoSpaceDN w:val="0"/>
        <w:adjustRightInd w:val="0"/>
        <w:ind w:left="0" w:firstLine="567"/>
        <w:jc w:val="both"/>
        <w:rPr>
          <w:snapToGrid w:val="0"/>
          <w:sz w:val="24"/>
          <w:szCs w:val="24"/>
        </w:rPr>
      </w:pPr>
      <w:r w:rsidRPr="007800A3">
        <w:rPr>
          <w:snapToGrid w:val="0"/>
          <w:sz w:val="24"/>
          <w:szCs w:val="24"/>
        </w:rPr>
        <w:t>Версия программного комплекса «Гранд-Смета» (далее – ПК</w:t>
      </w:r>
      <w:r w:rsidRPr="007800A3">
        <w:rPr>
          <w:bCs/>
          <w:iCs/>
          <w:sz w:val="24"/>
          <w:szCs w:val="24"/>
        </w:rPr>
        <w:t> </w:t>
      </w:r>
      <w:r w:rsidRPr="007800A3">
        <w:rPr>
          <w:snapToGrid w:val="0"/>
          <w:sz w:val="24"/>
          <w:szCs w:val="24"/>
        </w:rPr>
        <w:t xml:space="preserve">«Гранд-смета») </w:t>
      </w:r>
      <w:r w:rsidRPr="007800A3">
        <w:rPr>
          <w:snapToGrid w:val="0"/>
          <w:sz w:val="24"/>
          <w:szCs w:val="24"/>
          <w:u w:val="single"/>
        </w:rPr>
        <w:t xml:space="preserve">должна быть не ниже 11.0 </w:t>
      </w:r>
      <w:r w:rsidRPr="007800A3">
        <w:rPr>
          <w:rFonts w:eastAsia="Calibri"/>
          <w:color w:val="000000"/>
          <w:sz w:val="24"/>
          <w:szCs w:val="24"/>
          <w:lang w:eastAsia="en-US"/>
        </w:rPr>
        <w:t xml:space="preserve">Допускается наличие аналогичных программных продуктов, которые должны полностью </w:t>
      </w:r>
      <w:r w:rsidRPr="00B46C95">
        <w:rPr>
          <w:rFonts w:eastAsia="Calibri"/>
          <w:color w:val="000000"/>
          <w:sz w:val="24"/>
          <w:szCs w:val="24"/>
          <w:lang w:eastAsia="en-US"/>
        </w:rPr>
        <w:t>поддерживать форматы указанного ПО заказчика, с набором функций, не уступающих указанному ПО и схожим с ним интерфейсом</w:t>
      </w:r>
      <w:r w:rsidRPr="00B46C95">
        <w:rPr>
          <w:sz w:val="24"/>
          <w:szCs w:val="24"/>
        </w:rPr>
        <w:t>.</w:t>
      </w:r>
    </w:p>
    <w:p w:rsidR="00390223" w:rsidRPr="00B46C95" w:rsidRDefault="00390223" w:rsidP="00390223">
      <w:pPr>
        <w:numPr>
          <w:ilvl w:val="0"/>
          <w:numId w:val="3"/>
        </w:numPr>
        <w:tabs>
          <w:tab w:val="num" w:pos="786"/>
          <w:tab w:val="num" w:pos="1134"/>
        </w:tabs>
        <w:autoSpaceDE w:val="0"/>
        <w:autoSpaceDN w:val="0"/>
        <w:adjustRightInd w:val="0"/>
        <w:ind w:left="0" w:firstLine="567"/>
        <w:jc w:val="both"/>
        <w:rPr>
          <w:snapToGrid w:val="0"/>
          <w:sz w:val="24"/>
          <w:szCs w:val="24"/>
        </w:rPr>
      </w:pPr>
      <w:r w:rsidRPr="00B46C95">
        <w:rPr>
          <w:sz w:val="24"/>
          <w:szCs w:val="24"/>
        </w:rPr>
        <w:t>При составлении смет руководствоваться:</w:t>
      </w:r>
    </w:p>
    <w:p w:rsidR="00390223" w:rsidRDefault="00390223" w:rsidP="00390223">
      <w:pPr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napToGrid w:val="0"/>
          <w:sz w:val="24"/>
          <w:szCs w:val="24"/>
        </w:rPr>
      </w:pPr>
      <w:r w:rsidRPr="00B46C95">
        <w:rPr>
          <w:snapToGrid w:val="0"/>
          <w:sz w:val="24"/>
          <w:szCs w:val="24"/>
        </w:rPr>
        <w:t>«Методики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 (утв. Приказом Минстроя России от 04.08.2020 № 421/</w:t>
      </w:r>
      <w:proofErr w:type="spellStart"/>
      <w:r w:rsidRPr="00B46C95">
        <w:rPr>
          <w:snapToGrid w:val="0"/>
          <w:sz w:val="24"/>
          <w:szCs w:val="24"/>
        </w:rPr>
        <w:t>пр</w:t>
      </w:r>
      <w:proofErr w:type="spellEnd"/>
      <w:r w:rsidRPr="00B46C95">
        <w:rPr>
          <w:snapToGrid w:val="0"/>
          <w:sz w:val="24"/>
          <w:szCs w:val="24"/>
        </w:rPr>
        <w:t>);</w:t>
      </w:r>
    </w:p>
    <w:p w:rsidR="00390223" w:rsidRDefault="00390223" w:rsidP="00390223">
      <w:pPr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napToGrid w:val="0"/>
          <w:sz w:val="24"/>
          <w:szCs w:val="24"/>
        </w:rPr>
      </w:pPr>
      <w:r w:rsidRPr="00B46C95">
        <w:rPr>
          <w:snapToGrid w:val="0"/>
          <w:sz w:val="24"/>
          <w:szCs w:val="24"/>
        </w:rPr>
        <w:t>«Методические рекомендаций по применению федеральных единичных расценок на строительные, специальные строительные, ремонтно-строительные, монтаж оборудования и пусконаладочные работы (утв. Приказом Минстроя России от 04.09.2019 № 519/</w:t>
      </w:r>
      <w:proofErr w:type="spellStart"/>
      <w:r w:rsidRPr="00B46C95">
        <w:rPr>
          <w:snapToGrid w:val="0"/>
          <w:sz w:val="24"/>
          <w:szCs w:val="24"/>
        </w:rPr>
        <w:t>пр</w:t>
      </w:r>
      <w:proofErr w:type="spellEnd"/>
      <w:r w:rsidRPr="00B46C95">
        <w:rPr>
          <w:snapToGrid w:val="0"/>
          <w:sz w:val="24"/>
          <w:szCs w:val="24"/>
        </w:rPr>
        <w:t>);</w:t>
      </w:r>
    </w:p>
    <w:p w:rsidR="00390223" w:rsidRPr="00B46C95" w:rsidRDefault="00390223" w:rsidP="00390223">
      <w:pPr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napToGrid w:val="0"/>
          <w:sz w:val="24"/>
          <w:szCs w:val="24"/>
        </w:rPr>
      </w:pPr>
      <w:r w:rsidRPr="00B46C95">
        <w:rPr>
          <w:snapToGrid w:val="0"/>
          <w:sz w:val="24"/>
          <w:szCs w:val="24"/>
        </w:rPr>
        <w:t>«Порядок определения стоимости работ по техническому перевооружению, реконструкции, ремонту и техническому обслуживанию объектов генерации, сетей, зданий и сооружений. Методические указания» (утв. Решением Правления ОАО «РАО Энергетические системы Востока» от 01.04.2014 № 10).</w:t>
      </w:r>
    </w:p>
    <w:p w:rsidR="00390223" w:rsidRPr="00B46C95" w:rsidRDefault="00390223" w:rsidP="00390223">
      <w:pPr>
        <w:numPr>
          <w:ilvl w:val="0"/>
          <w:numId w:val="3"/>
        </w:numPr>
        <w:tabs>
          <w:tab w:val="num" w:pos="786"/>
        </w:tabs>
        <w:ind w:left="0" w:firstLine="567"/>
        <w:contextualSpacing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B46C95">
        <w:rPr>
          <w:rFonts w:eastAsia="Calibri"/>
          <w:color w:val="000000"/>
          <w:sz w:val="24"/>
          <w:szCs w:val="24"/>
          <w:lang w:eastAsia="en-US"/>
        </w:rPr>
        <w:t>Сметная документация должна быть составлена на основе действующих единичных расценок, утвержденных и зарегистрированных в установленном порядке и внесенных в Федеральный реестр сметных нормативов, с применением актуальных индексов пересчета сметной стоимости работ, по объектам строительства по регионам РФ, публикуемым в приложениях к письмам утвержденного Федерального органа исполнительной власти.</w:t>
      </w:r>
    </w:p>
    <w:p w:rsidR="00390223" w:rsidRPr="00B46C95" w:rsidRDefault="00390223" w:rsidP="00390223">
      <w:pPr>
        <w:ind w:left="567"/>
        <w:contextualSpacing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B46C95">
        <w:rPr>
          <w:rFonts w:eastAsia="Calibri"/>
          <w:color w:val="000000"/>
          <w:sz w:val="24"/>
          <w:szCs w:val="24"/>
          <w:lang w:eastAsia="en-US"/>
        </w:rPr>
        <w:t>Стоимость работ:</w:t>
      </w:r>
    </w:p>
    <w:p w:rsidR="00390223" w:rsidRPr="00B46C95" w:rsidRDefault="00390223" w:rsidP="00390223">
      <w:pPr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napToGrid w:val="0"/>
          <w:sz w:val="24"/>
          <w:szCs w:val="24"/>
        </w:rPr>
      </w:pPr>
      <w:r w:rsidRPr="00B46C95">
        <w:rPr>
          <w:snapToGrid w:val="0"/>
          <w:sz w:val="24"/>
          <w:szCs w:val="24"/>
        </w:rPr>
        <w:t>определяется в сметно-нормативной базе ГЭСН-2020, внесенной в Федеральный реестр сметных нормативов;</w:t>
      </w:r>
    </w:p>
    <w:p w:rsidR="00390223" w:rsidRPr="00B46C95" w:rsidRDefault="00390223" w:rsidP="00390223">
      <w:pPr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napToGrid w:val="0"/>
          <w:sz w:val="24"/>
          <w:szCs w:val="24"/>
        </w:rPr>
      </w:pPr>
      <w:r w:rsidRPr="00B46C95">
        <w:rPr>
          <w:snapToGrid w:val="0"/>
          <w:sz w:val="24"/>
          <w:szCs w:val="24"/>
        </w:rPr>
        <w:t>затраты на оплату труда рабочих определены исходя из размера месячной тарифной ставки рабочего 1 разряда 8 335,00 руб. при работе в нормальных условиях, установленной Указанием ПАО «Якутскэнерго» №212/97 от 25.03.2022 г.</w:t>
      </w:r>
    </w:p>
    <w:p w:rsidR="00390223" w:rsidRDefault="00390223" w:rsidP="00390223">
      <w:pPr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napToGrid w:val="0"/>
          <w:sz w:val="24"/>
          <w:szCs w:val="24"/>
        </w:rPr>
      </w:pPr>
      <w:r w:rsidRPr="00B46C95">
        <w:rPr>
          <w:snapToGrid w:val="0"/>
          <w:sz w:val="24"/>
          <w:szCs w:val="24"/>
        </w:rPr>
        <w:t xml:space="preserve">При определении стоимости товаров, работ и услуг в ценах соответствующих лет (периодах) прошу руководствоваться только актуальными Едиными сценарными условиями Группы </w:t>
      </w:r>
      <w:proofErr w:type="spellStart"/>
      <w:r w:rsidRPr="00B46C95">
        <w:rPr>
          <w:snapToGrid w:val="0"/>
          <w:sz w:val="24"/>
          <w:szCs w:val="24"/>
        </w:rPr>
        <w:t>РусГидро</w:t>
      </w:r>
      <w:proofErr w:type="spellEnd"/>
      <w:r w:rsidRPr="00B46C95">
        <w:rPr>
          <w:snapToGrid w:val="0"/>
          <w:sz w:val="24"/>
          <w:szCs w:val="24"/>
        </w:rPr>
        <w:t xml:space="preserve"> (далее – ЕСУ). Индексы-дефляторы применять согласно приложению </w:t>
      </w:r>
      <w:proofErr w:type="spellStart"/>
      <w:r w:rsidRPr="00B46C95">
        <w:rPr>
          <w:snapToGrid w:val="0"/>
          <w:sz w:val="24"/>
          <w:szCs w:val="24"/>
        </w:rPr>
        <w:t>No</w:t>
      </w:r>
      <w:proofErr w:type="spellEnd"/>
      <w:r w:rsidRPr="00B46C95">
        <w:rPr>
          <w:snapToGrid w:val="0"/>
          <w:sz w:val="24"/>
          <w:szCs w:val="24"/>
        </w:rPr>
        <w:t xml:space="preserve"> 1.1 к ЕСУ – по графе макроэкономические показатели, прогноз – базовый, учитывая порядок формирования соответствующих расходов, изложенный в пункте 3 ЕСУ. Индексы-дефляторы принимаются на середину срока производства работ по договору/этапу.</w:t>
      </w:r>
    </w:p>
    <w:p w:rsidR="00390223" w:rsidRPr="00B46C95" w:rsidRDefault="00390223" w:rsidP="00390223">
      <w:pPr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napToGrid w:val="0"/>
          <w:sz w:val="24"/>
          <w:szCs w:val="24"/>
        </w:rPr>
      </w:pPr>
      <w:r w:rsidRPr="00B46C95">
        <w:rPr>
          <w:snapToGrid w:val="0"/>
          <w:sz w:val="24"/>
          <w:szCs w:val="24"/>
        </w:rPr>
        <w:t xml:space="preserve">При определении стоимости товаров, работ и услуг в прогнозном уровне цен, соответствующем периоду действия договора, руководствоваться только актуальными Едиными сценарными условиями Группы </w:t>
      </w:r>
      <w:proofErr w:type="spellStart"/>
      <w:r w:rsidRPr="00B46C95">
        <w:rPr>
          <w:snapToGrid w:val="0"/>
          <w:sz w:val="24"/>
          <w:szCs w:val="24"/>
        </w:rPr>
        <w:t>РусГидро</w:t>
      </w:r>
      <w:proofErr w:type="spellEnd"/>
      <w:r w:rsidRPr="00B46C95">
        <w:rPr>
          <w:snapToGrid w:val="0"/>
          <w:sz w:val="24"/>
          <w:szCs w:val="24"/>
        </w:rPr>
        <w:t xml:space="preserve"> (далее – ЕСУ). Индексы-дефляторы применять согласно приложению </w:t>
      </w:r>
      <w:proofErr w:type="spellStart"/>
      <w:r w:rsidRPr="00B46C95">
        <w:rPr>
          <w:snapToGrid w:val="0"/>
          <w:sz w:val="24"/>
          <w:szCs w:val="24"/>
        </w:rPr>
        <w:t>No</w:t>
      </w:r>
      <w:proofErr w:type="spellEnd"/>
      <w:r w:rsidRPr="00B46C95">
        <w:rPr>
          <w:snapToGrid w:val="0"/>
          <w:sz w:val="24"/>
          <w:szCs w:val="24"/>
        </w:rPr>
        <w:t xml:space="preserve"> 1.1 к ЕСУ – по графе макроэкономические показатели, прогноз – базовый, учитывая порядок формирования соответствующих расходов, изложенный в пункте 3 ЕСУ:</w:t>
      </w:r>
    </w:p>
    <w:p w:rsidR="00390223" w:rsidRPr="00B46C95" w:rsidRDefault="00390223" w:rsidP="00390223">
      <w:pPr>
        <w:tabs>
          <w:tab w:val="left" w:pos="1134"/>
        </w:tabs>
        <w:autoSpaceDE w:val="0"/>
        <w:autoSpaceDN w:val="0"/>
        <w:adjustRightInd w:val="0"/>
        <w:ind w:left="567"/>
        <w:jc w:val="both"/>
        <w:rPr>
          <w:snapToGrid w:val="0"/>
          <w:sz w:val="24"/>
          <w:szCs w:val="24"/>
        </w:rPr>
      </w:pPr>
      <w:r w:rsidRPr="00B46C95">
        <w:rPr>
          <w:snapToGrid w:val="0"/>
          <w:sz w:val="24"/>
          <w:szCs w:val="24"/>
        </w:rPr>
        <w:t xml:space="preserve">- </w:t>
      </w:r>
      <w:proofErr w:type="spellStart"/>
      <w:r w:rsidRPr="00B46C95">
        <w:rPr>
          <w:snapToGrid w:val="0"/>
          <w:sz w:val="24"/>
          <w:szCs w:val="24"/>
        </w:rPr>
        <w:t>ТПиР</w:t>
      </w:r>
      <w:proofErr w:type="spellEnd"/>
      <w:r w:rsidRPr="00B46C95">
        <w:rPr>
          <w:snapToGrid w:val="0"/>
          <w:sz w:val="24"/>
          <w:szCs w:val="24"/>
        </w:rPr>
        <w:t xml:space="preserve"> – по индексу-дефлятору инвестиций; </w:t>
      </w:r>
    </w:p>
    <w:p w:rsidR="00390223" w:rsidRPr="00B46C95" w:rsidRDefault="00390223" w:rsidP="00390223">
      <w:pPr>
        <w:tabs>
          <w:tab w:val="left" w:pos="1134"/>
        </w:tabs>
        <w:autoSpaceDE w:val="0"/>
        <w:autoSpaceDN w:val="0"/>
        <w:adjustRightInd w:val="0"/>
        <w:ind w:left="567"/>
        <w:jc w:val="both"/>
        <w:rPr>
          <w:snapToGrid w:val="0"/>
          <w:sz w:val="24"/>
          <w:szCs w:val="24"/>
        </w:rPr>
      </w:pPr>
      <w:r w:rsidRPr="00B46C95">
        <w:rPr>
          <w:snapToGrid w:val="0"/>
          <w:sz w:val="24"/>
          <w:szCs w:val="24"/>
        </w:rPr>
        <w:lastRenderedPageBreak/>
        <w:t>- расходы на ремонт, работы и услуги производственного характера (за исключением НИР) – по индексу-дефлятору промышленной продукции.</w:t>
      </w:r>
    </w:p>
    <w:p w:rsidR="00390223" w:rsidRPr="00B46C95" w:rsidRDefault="00390223" w:rsidP="00390223">
      <w:pPr>
        <w:tabs>
          <w:tab w:val="left" w:pos="1134"/>
        </w:tabs>
        <w:autoSpaceDE w:val="0"/>
        <w:autoSpaceDN w:val="0"/>
        <w:adjustRightInd w:val="0"/>
        <w:ind w:left="142"/>
        <w:jc w:val="both"/>
        <w:rPr>
          <w:snapToGrid w:val="0"/>
          <w:sz w:val="24"/>
          <w:szCs w:val="24"/>
        </w:rPr>
      </w:pPr>
      <w:r w:rsidRPr="00B46C95">
        <w:rPr>
          <w:snapToGrid w:val="0"/>
          <w:sz w:val="24"/>
          <w:szCs w:val="24"/>
        </w:rPr>
        <w:t>Индексы-дефляторы принимаются на середину срока производства работ по договору/этапу</w:t>
      </w:r>
    </w:p>
    <w:p w:rsidR="00390223" w:rsidRDefault="00390223" w:rsidP="00390223">
      <w:pPr>
        <w:ind w:firstLine="709"/>
        <w:contextualSpacing/>
        <w:jc w:val="both"/>
        <w:rPr>
          <w:rFonts w:eastAsia="Calibri"/>
          <w:color w:val="000000"/>
          <w:sz w:val="24"/>
          <w:szCs w:val="24"/>
          <w:lang w:eastAsia="en-US"/>
        </w:rPr>
      </w:pPr>
      <w:r>
        <w:rPr>
          <w:rFonts w:eastAsia="Calibri"/>
          <w:color w:val="000000"/>
          <w:sz w:val="24"/>
          <w:szCs w:val="24"/>
          <w:lang w:eastAsia="en-US"/>
        </w:rPr>
        <w:t xml:space="preserve">4. </w:t>
      </w:r>
      <w:r w:rsidRPr="00B46C95">
        <w:rPr>
          <w:rFonts w:eastAsia="Calibri"/>
          <w:color w:val="000000"/>
          <w:sz w:val="24"/>
          <w:szCs w:val="24"/>
          <w:lang w:eastAsia="en-US"/>
        </w:rPr>
        <w:t>Использование нормативов ценообразования, не зарегистрированных и не вошедших в Федеральный реестр сметных нормативов, не допускается.</w:t>
      </w:r>
    </w:p>
    <w:p w:rsidR="00390223" w:rsidRDefault="00390223" w:rsidP="00390223">
      <w:pPr>
        <w:ind w:firstLine="709"/>
        <w:contextualSpacing/>
        <w:jc w:val="both"/>
        <w:rPr>
          <w:rFonts w:eastAsia="Calibri"/>
          <w:color w:val="000000"/>
          <w:sz w:val="24"/>
          <w:szCs w:val="24"/>
          <w:lang w:eastAsia="en-US"/>
        </w:rPr>
      </w:pPr>
      <w:r>
        <w:rPr>
          <w:rFonts w:eastAsia="Calibri"/>
          <w:color w:val="000000"/>
          <w:sz w:val="24"/>
          <w:szCs w:val="24"/>
          <w:lang w:eastAsia="en-US"/>
        </w:rPr>
        <w:t xml:space="preserve">5. </w:t>
      </w:r>
      <w:r w:rsidRPr="00B46C95">
        <w:rPr>
          <w:rFonts w:eastAsia="Calibri"/>
          <w:color w:val="000000"/>
          <w:sz w:val="24"/>
          <w:szCs w:val="24"/>
          <w:lang w:eastAsia="en-US"/>
        </w:rPr>
        <w:t xml:space="preserve">В случае отсутствия единичных расценок в действующей СНБ возможно определение сметной стоимости с применением сборников: «Единых норм и расценок на строительные, монтажные и ремонтно-строительные работы» (далее – </w:t>
      </w:r>
      <w:proofErr w:type="spellStart"/>
      <w:r w:rsidRPr="00B46C95">
        <w:rPr>
          <w:rFonts w:eastAsia="Calibri"/>
          <w:color w:val="000000"/>
          <w:sz w:val="24"/>
          <w:szCs w:val="24"/>
          <w:lang w:eastAsia="en-US"/>
        </w:rPr>
        <w:t>ЕНиР</w:t>
      </w:r>
      <w:proofErr w:type="spellEnd"/>
      <w:r w:rsidRPr="00B46C95">
        <w:rPr>
          <w:rFonts w:eastAsia="Calibri"/>
          <w:color w:val="000000"/>
          <w:sz w:val="24"/>
          <w:szCs w:val="24"/>
          <w:lang w:eastAsia="en-US"/>
        </w:rPr>
        <w:t xml:space="preserve">) и «Ведомственных норм и расценок на строительные, монтажные и ремонтно-строительные работы» (далее – </w:t>
      </w:r>
      <w:proofErr w:type="spellStart"/>
      <w:r w:rsidRPr="00B46C95">
        <w:rPr>
          <w:rFonts w:eastAsia="Calibri"/>
          <w:color w:val="000000"/>
          <w:sz w:val="24"/>
          <w:szCs w:val="24"/>
          <w:lang w:eastAsia="en-US"/>
        </w:rPr>
        <w:t>ВНиР</w:t>
      </w:r>
      <w:proofErr w:type="spellEnd"/>
      <w:r w:rsidRPr="00B46C95">
        <w:rPr>
          <w:rFonts w:eastAsia="Calibri"/>
          <w:color w:val="000000"/>
          <w:sz w:val="24"/>
          <w:szCs w:val="24"/>
          <w:lang w:eastAsia="en-US"/>
        </w:rPr>
        <w:t xml:space="preserve">). </w:t>
      </w:r>
    </w:p>
    <w:p w:rsidR="00390223" w:rsidRDefault="00390223" w:rsidP="00390223">
      <w:pPr>
        <w:ind w:firstLine="709"/>
        <w:contextualSpacing/>
        <w:jc w:val="both"/>
        <w:rPr>
          <w:rFonts w:eastAsia="Calibri"/>
          <w:color w:val="000000"/>
          <w:sz w:val="24"/>
          <w:szCs w:val="24"/>
          <w:lang w:eastAsia="en-US"/>
        </w:rPr>
      </w:pPr>
      <w:r>
        <w:rPr>
          <w:rFonts w:eastAsia="Calibri"/>
          <w:color w:val="000000"/>
          <w:sz w:val="24"/>
          <w:szCs w:val="24"/>
          <w:lang w:eastAsia="en-US"/>
        </w:rPr>
        <w:t xml:space="preserve">6. </w:t>
      </w:r>
      <w:r w:rsidRPr="00B46C95">
        <w:rPr>
          <w:rFonts w:eastAsia="Calibri"/>
          <w:color w:val="000000"/>
          <w:sz w:val="24"/>
          <w:szCs w:val="24"/>
          <w:lang w:eastAsia="en-US"/>
        </w:rPr>
        <w:t xml:space="preserve">Уровень оплаты труда для </w:t>
      </w:r>
      <w:proofErr w:type="spellStart"/>
      <w:r w:rsidRPr="00B46C95">
        <w:rPr>
          <w:rFonts w:eastAsia="Calibri"/>
          <w:color w:val="000000"/>
          <w:sz w:val="24"/>
          <w:szCs w:val="24"/>
          <w:lang w:eastAsia="en-US"/>
        </w:rPr>
        <w:t>ЕНиР</w:t>
      </w:r>
      <w:proofErr w:type="spellEnd"/>
      <w:r w:rsidRPr="00B46C95">
        <w:rPr>
          <w:rFonts w:eastAsia="Calibri"/>
          <w:color w:val="000000"/>
          <w:sz w:val="24"/>
          <w:szCs w:val="24"/>
          <w:lang w:eastAsia="en-US"/>
        </w:rPr>
        <w:t xml:space="preserve"> и </w:t>
      </w:r>
      <w:proofErr w:type="spellStart"/>
      <w:r w:rsidRPr="00B46C95">
        <w:rPr>
          <w:rFonts w:eastAsia="Calibri"/>
          <w:color w:val="000000"/>
          <w:sz w:val="24"/>
          <w:szCs w:val="24"/>
          <w:lang w:eastAsia="en-US"/>
        </w:rPr>
        <w:t>ВНиР</w:t>
      </w:r>
      <w:proofErr w:type="spellEnd"/>
      <w:r w:rsidRPr="00B46C95">
        <w:rPr>
          <w:rFonts w:eastAsia="Calibri"/>
          <w:color w:val="000000"/>
          <w:sz w:val="24"/>
          <w:szCs w:val="24"/>
          <w:lang w:eastAsia="en-US"/>
        </w:rPr>
        <w:t xml:space="preserve"> определять в соответствии с тарифными ставками сборника «Показатели часовой оплаты труда» (далее - ТС 2001), внесенного в Федеральный реестр сметных нормативов.</w:t>
      </w:r>
    </w:p>
    <w:p w:rsidR="00390223" w:rsidRDefault="00390223" w:rsidP="00390223">
      <w:pPr>
        <w:ind w:firstLine="709"/>
        <w:contextualSpacing/>
        <w:jc w:val="both"/>
        <w:rPr>
          <w:rFonts w:eastAsia="Calibri"/>
          <w:color w:val="000000"/>
          <w:sz w:val="24"/>
          <w:szCs w:val="24"/>
          <w:lang w:eastAsia="en-US"/>
        </w:rPr>
      </w:pPr>
      <w:r>
        <w:rPr>
          <w:rFonts w:eastAsia="Calibri"/>
          <w:color w:val="000000"/>
          <w:sz w:val="24"/>
          <w:szCs w:val="24"/>
          <w:lang w:eastAsia="en-US"/>
        </w:rPr>
        <w:t xml:space="preserve">7. </w:t>
      </w:r>
      <w:r w:rsidRPr="00B46C95">
        <w:rPr>
          <w:rFonts w:eastAsia="Calibri"/>
          <w:color w:val="000000"/>
          <w:sz w:val="24"/>
          <w:szCs w:val="24"/>
          <w:lang w:eastAsia="en-US"/>
        </w:rPr>
        <w:t xml:space="preserve">Коэффициенты, учитывающие условия производства работ, применять согласно общим положениям «Общей части» к </w:t>
      </w:r>
      <w:proofErr w:type="spellStart"/>
      <w:r w:rsidRPr="00B46C95">
        <w:rPr>
          <w:rFonts w:eastAsia="Calibri"/>
          <w:color w:val="000000"/>
          <w:sz w:val="24"/>
          <w:szCs w:val="24"/>
          <w:lang w:eastAsia="en-US"/>
        </w:rPr>
        <w:t>ЕНиР</w:t>
      </w:r>
      <w:proofErr w:type="spellEnd"/>
      <w:r w:rsidRPr="00B46C95">
        <w:rPr>
          <w:rFonts w:eastAsia="Calibri"/>
          <w:color w:val="000000"/>
          <w:sz w:val="24"/>
          <w:szCs w:val="24"/>
          <w:lang w:eastAsia="en-US"/>
        </w:rPr>
        <w:t xml:space="preserve"> и </w:t>
      </w:r>
      <w:proofErr w:type="spellStart"/>
      <w:r w:rsidRPr="00B46C95">
        <w:rPr>
          <w:rFonts w:eastAsia="Calibri"/>
          <w:color w:val="000000"/>
          <w:sz w:val="24"/>
          <w:szCs w:val="24"/>
          <w:lang w:eastAsia="en-US"/>
        </w:rPr>
        <w:t>ВНиР</w:t>
      </w:r>
      <w:proofErr w:type="spellEnd"/>
      <w:r w:rsidRPr="00B46C95">
        <w:rPr>
          <w:rFonts w:eastAsia="Calibri"/>
          <w:color w:val="000000"/>
          <w:sz w:val="24"/>
          <w:szCs w:val="24"/>
          <w:lang w:eastAsia="en-US"/>
        </w:rPr>
        <w:t>, утвержденным постановлением Госстроя СССР от 05.12.1986 №43/512/29-50.</w:t>
      </w:r>
    </w:p>
    <w:p w:rsidR="00390223" w:rsidRDefault="00390223" w:rsidP="00390223">
      <w:pPr>
        <w:ind w:firstLine="709"/>
        <w:contextualSpacing/>
        <w:jc w:val="both"/>
        <w:rPr>
          <w:rFonts w:eastAsia="Calibri"/>
          <w:color w:val="000000"/>
          <w:sz w:val="24"/>
          <w:szCs w:val="24"/>
          <w:lang w:eastAsia="en-US"/>
        </w:rPr>
      </w:pPr>
      <w:r>
        <w:rPr>
          <w:rFonts w:eastAsia="Calibri"/>
          <w:color w:val="000000"/>
          <w:sz w:val="24"/>
          <w:szCs w:val="24"/>
          <w:lang w:eastAsia="en-US"/>
        </w:rPr>
        <w:t xml:space="preserve">8. </w:t>
      </w:r>
      <w:r w:rsidRPr="00B46C95">
        <w:rPr>
          <w:rFonts w:eastAsia="Calibri"/>
          <w:color w:val="000000"/>
          <w:sz w:val="24"/>
          <w:szCs w:val="24"/>
          <w:lang w:eastAsia="en-US"/>
        </w:rPr>
        <w:t>Нормы накладных расходов и сметной прибыли определять на основании Методики 812/</w:t>
      </w:r>
      <w:proofErr w:type="spellStart"/>
      <w:r w:rsidRPr="00B46C95">
        <w:rPr>
          <w:rFonts w:eastAsia="Calibri"/>
          <w:color w:val="000000"/>
          <w:sz w:val="24"/>
          <w:szCs w:val="24"/>
          <w:lang w:eastAsia="en-US"/>
        </w:rPr>
        <w:t>пр</w:t>
      </w:r>
      <w:proofErr w:type="spellEnd"/>
      <w:r w:rsidRPr="00B46C95">
        <w:rPr>
          <w:rFonts w:eastAsia="Calibri"/>
          <w:color w:val="000000"/>
          <w:sz w:val="24"/>
          <w:szCs w:val="24"/>
          <w:lang w:eastAsia="en-US"/>
        </w:rPr>
        <w:t>, Методики 774/</w:t>
      </w:r>
      <w:proofErr w:type="spellStart"/>
      <w:r w:rsidRPr="00B46C95">
        <w:rPr>
          <w:rFonts w:eastAsia="Calibri"/>
          <w:color w:val="000000"/>
          <w:sz w:val="24"/>
          <w:szCs w:val="24"/>
          <w:lang w:eastAsia="en-US"/>
        </w:rPr>
        <w:t>пр</w:t>
      </w:r>
      <w:proofErr w:type="spellEnd"/>
      <w:r w:rsidRPr="00B46C95">
        <w:rPr>
          <w:rFonts w:eastAsia="Calibri"/>
          <w:color w:val="000000"/>
          <w:sz w:val="24"/>
          <w:szCs w:val="24"/>
          <w:lang w:eastAsia="en-US"/>
        </w:rPr>
        <w:t xml:space="preserve"> в соответствии с письмами уполномоченного органа исполнительной власти в области сметного нормирования и ценообразования в сфере градостроительной деятельности, и дополнениями к ним.</w:t>
      </w:r>
    </w:p>
    <w:p w:rsidR="00390223" w:rsidRDefault="00390223" w:rsidP="00390223">
      <w:pPr>
        <w:ind w:firstLine="709"/>
        <w:contextualSpacing/>
        <w:jc w:val="both"/>
        <w:rPr>
          <w:rFonts w:eastAsia="Calibri"/>
          <w:color w:val="000000"/>
          <w:sz w:val="24"/>
          <w:szCs w:val="24"/>
          <w:lang w:eastAsia="en-US"/>
        </w:rPr>
      </w:pPr>
      <w:r>
        <w:rPr>
          <w:rFonts w:eastAsia="Calibri"/>
          <w:color w:val="000000"/>
          <w:sz w:val="24"/>
          <w:szCs w:val="24"/>
          <w:lang w:eastAsia="en-US"/>
        </w:rPr>
        <w:t xml:space="preserve">9. </w:t>
      </w:r>
      <w:r w:rsidRPr="00B46C95">
        <w:rPr>
          <w:rFonts w:eastAsia="Calibri"/>
          <w:color w:val="000000"/>
          <w:sz w:val="24"/>
          <w:szCs w:val="24"/>
          <w:lang w:eastAsia="en-US"/>
        </w:rPr>
        <w:t xml:space="preserve">Стоимость материально-технических ресурсов (далее – МТР), не учтенных в расценках, определять по сборнику ССЦ, утвержденному в установленном порядке и внесенному в Федеральный реестр сметных нормативов. Номенклатура принимаемых по сборнику МТР должна строго соответствовать номенклатуре, определенной проектом, «применительно» использование расценок сборника не допускается. </w:t>
      </w:r>
    </w:p>
    <w:p w:rsidR="00390223" w:rsidRDefault="00390223" w:rsidP="00390223">
      <w:pPr>
        <w:ind w:firstLine="709"/>
        <w:contextualSpacing/>
        <w:jc w:val="both"/>
        <w:rPr>
          <w:rFonts w:eastAsia="Calibri"/>
          <w:color w:val="000000"/>
          <w:sz w:val="24"/>
          <w:szCs w:val="24"/>
          <w:lang w:eastAsia="en-US"/>
        </w:rPr>
      </w:pPr>
      <w:r>
        <w:rPr>
          <w:rFonts w:eastAsia="Calibri"/>
          <w:color w:val="000000"/>
          <w:sz w:val="24"/>
          <w:szCs w:val="24"/>
          <w:lang w:eastAsia="en-US"/>
        </w:rPr>
        <w:t xml:space="preserve">10. </w:t>
      </w:r>
      <w:r w:rsidRPr="00B46C95">
        <w:rPr>
          <w:rFonts w:eastAsia="Calibri"/>
          <w:color w:val="000000"/>
          <w:sz w:val="24"/>
          <w:szCs w:val="24"/>
          <w:lang w:eastAsia="en-US"/>
        </w:rPr>
        <w:t>При отсутствии необходимой номенклатуры МТР по сборнику допускается определять стоимость на основании прайс-листов в текущем уровне (в сметах в графе «обоснование» указывать «прайс-лист», во вкладке «Дополнительная информация. Примечания» ПК «Гранд-смета» указывать дополнительную информацию о ресурсе-поставщика/изготовителя, дату действия и т.д.), при этом цены не должны превышать средних цен по региону расположения объекта.</w:t>
      </w:r>
    </w:p>
    <w:p w:rsidR="00390223" w:rsidRDefault="00390223" w:rsidP="00390223">
      <w:pPr>
        <w:ind w:firstLine="709"/>
        <w:contextualSpacing/>
        <w:jc w:val="both"/>
        <w:rPr>
          <w:rFonts w:eastAsia="Calibri"/>
          <w:color w:val="000000"/>
          <w:sz w:val="24"/>
          <w:szCs w:val="24"/>
          <w:lang w:eastAsia="en-US"/>
        </w:rPr>
      </w:pPr>
      <w:r>
        <w:rPr>
          <w:rFonts w:eastAsia="Calibri"/>
          <w:color w:val="000000"/>
          <w:sz w:val="24"/>
          <w:szCs w:val="24"/>
          <w:lang w:eastAsia="en-US"/>
        </w:rPr>
        <w:t xml:space="preserve">11. </w:t>
      </w:r>
      <w:r w:rsidRPr="00B46C95">
        <w:rPr>
          <w:rFonts w:eastAsia="Calibri"/>
          <w:color w:val="000000"/>
          <w:sz w:val="24"/>
          <w:szCs w:val="24"/>
          <w:lang w:eastAsia="en-US"/>
        </w:rPr>
        <w:t xml:space="preserve">При представлении сметной документации на экспертизу необходимо прикладывать все документы (прайсы, счета, коммерческие предложения, маркетинговый анализ и т.п.), подтверждающие стоимость МТР. </w:t>
      </w:r>
    </w:p>
    <w:p w:rsidR="00390223" w:rsidRDefault="00390223" w:rsidP="00390223">
      <w:pPr>
        <w:ind w:firstLine="709"/>
        <w:contextualSpacing/>
        <w:jc w:val="both"/>
        <w:rPr>
          <w:rFonts w:eastAsia="Calibri"/>
          <w:color w:val="000000"/>
          <w:sz w:val="24"/>
          <w:szCs w:val="24"/>
          <w:lang w:eastAsia="en-US"/>
        </w:rPr>
      </w:pPr>
      <w:r>
        <w:rPr>
          <w:rFonts w:eastAsia="Calibri"/>
          <w:color w:val="000000"/>
          <w:sz w:val="24"/>
          <w:szCs w:val="24"/>
          <w:lang w:eastAsia="en-US"/>
        </w:rPr>
        <w:t xml:space="preserve">12. </w:t>
      </w:r>
      <w:r w:rsidRPr="00B46C95">
        <w:rPr>
          <w:rFonts w:eastAsia="Calibri"/>
          <w:color w:val="000000"/>
          <w:sz w:val="24"/>
          <w:szCs w:val="24"/>
          <w:lang w:eastAsia="en-US"/>
        </w:rPr>
        <w:t>При формировании сметной стоимости работ в</w:t>
      </w:r>
      <w:r w:rsidRPr="00B46C95">
        <w:rPr>
          <w:rFonts w:eastAsia="Calibri"/>
          <w:snapToGrid w:val="0"/>
          <w:sz w:val="24"/>
          <w:szCs w:val="24"/>
        </w:rPr>
        <w:t xml:space="preserve"> случаях замены материала Заказчиком в ВОР (в случаях, когда стоимость материала определяется по прайс-листу поставщика и отсутствует в сборнике ССЦ), замену выполнять с учетом среднерыночной стоимости, расход материала учитывать в соответствии с паспортными данными. Данный подход применим, когда технология выполнения работ и их трудоемкость с использованием новых материалов не отличается от МТР, учтенных в расценках.</w:t>
      </w:r>
    </w:p>
    <w:p w:rsidR="00390223" w:rsidRDefault="00390223" w:rsidP="00390223">
      <w:pPr>
        <w:ind w:firstLine="709"/>
        <w:contextualSpacing/>
        <w:jc w:val="both"/>
        <w:rPr>
          <w:rFonts w:eastAsia="Calibri"/>
          <w:color w:val="000000"/>
          <w:sz w:val="24"/>
          <w:szCs w:val="24"/>
          <w:lang w:eastAsia="en-US"/>
        </w:rPr>
      </w:pPr>
      <w:r>
        <w:rPr>
          <w:rFonts w:eastAsia="Calibri"/>
          <w:color w:val="000000"/>
          <w:sz w:val="24"/>
          <w:szCs w:val="24"/>
          <w:lang w:eastAsia="en-US"/>
        </w:rPr>
        <w:t xml:space="preserve">13. </w:t>
      </w:r>
      <w:r w:rsidRPr="00B46C95">
        <w:rPr>
          <w:sz w:val="24"/>
          <w:szCs w:val="24"/>
        </w:rPr>
        <w:t>При составлении сметной документации на работы, выполняемые в рамках договора (дополнительного соглашения), работы, выполняемые в счет резерва средств на непредвиденные работы и затраты, работы по возведению временных зданий и сооружений, работы, объемы которых подлежат изменению (исключению/дополнению) необходимо руководствоваться условиями ценообразования, учтенными в сметной документации к основному договору, в том числе: сметно-нормативная база, индексы перевода в текущие цены, коэффициент тендерного снижения, индексы-дефляторы.</w:t>
      </w:r>
    </w:p>
    <w:p w:rsidR="00390223" w:rsidRDefault="00390223" w:rsidP="00390223">
      <w:pPr>
        <w:ind w:firstLine="709"/>
        <w:contextualSpacing/>
        <w:jc w:val="both"/>
        <w:rPr>
          <w:rFonts w:eastAsia="Calibri"/>
          <w:color w:val="000000"/>
          <w:sz w:val="24"/>
          <w:szCs w:val="24"/>
          <w:lang w:eastAsia="en-US"/>
        </w:rPr>
      </w:pPr>
      <w:r>
        <w:rPr>
          <w:rFonts w:eastAsia="Calibri"/>
          <w:color w:val="000000"/>
          <w:sz w:val="24"/>
          <w:szCs w:val="24"/>
          <w:lang w:eastAsia="en-US"/>
        </w:rPr>
        <w:t xml:space="preserve">14. </w:t>
      </w:r>
      <w:r w:rsidRPr="00B46C95">
        <w:rPr>
          <w:snapToGrid w:val="0"/>
          <w:sz w:val="24"/>
          <w:szCs w:val="24"/>
        </w:rPr>
        <w:t>При использовании в сметах коэффициентов и лимитированных затрат указывать обоснование из технической части, вводных указаний сборников или других нормативных документов и приложений к ним.</w:t>
      </w:r>
    </w:p>
    <w:p w:rsidR="00390223" w:rsidRDefault="00390223" w:rsidP="00390223">
      <w:pPr>
        <w:ind w:firstLine="709"/>
        <w:contextualSpacing/>
        <w:jc w:val="both"/>
        <w:rPr>
          <w:rFonts w:eastAsia="Calibri"/>
          <w:color w:val="000000"/>
          <w:sz w:val="24"/>
          <w:szCs w:val="24"/>
          <w:lang w:eastAsia="en-US"/>
        </w:rPr>
      </w:pPr>
      <w:r>
        <w:rPr>
          <w:rFonts w:eastAsia="Calibri"/>
          <w:color w:val="000000"/>
          <w:sz w:val="24"/>
          <w:szCs w:val="24"/>
          <w:lang w:eastAsia="en-US"/>
        </w:rPr>
        <w:t xml:space="preserve">14. </w:t>
      </w:r>
      <w:r w:rsidRPr="00B46C95">
        <w:rPr>
          <w:snapToGrid w:val="0"/>
          <w:sz w:val="24"/>
          <w:szCs w:val="24"/>
        </w:rPr>
        <w:t>Поправочные коэффициенты из технической части к расценкам (например, на демонтаж или для учета особых условий выполнения работ) учитываются индивидуально для каждой позиции и в выходных формах при выгрузке в формат «</w:t>
      </w:r>
      <w:proofErr w:type="spellStart"/>
      <w:r w:rsidRPr="00B46C95">
        <w:rPr>
          <w:snapToGrid w:val="0"/>
          <w:sz w:val="24"/>
          <w:szCs w:val="24"/>
        </w:rPr>
        <w:t>Excel</w:t>
      </w:r>
      <w:proofErr w:type="spellEnd"/>
      <w:r w:rsidRPr="00B46C95">
        <w:rPr>
          <w:snapToGrid w:val="0"/>
          <w:sz w:val="24"/>
          <w:szCs w:val="24"/>
        </w:rPr>
        <w:t xml:space="preserve">» указываются </w:t>
      </w:r>
      <w:proofErr w:type="spellStart"/>
      <w:r w:rsidRPr="00B46C95">
        <w:rPr>
          <w:snapToGrid w:val="0"/>
          <w:sz w:val="24"/>
          <w:szCs w:val="24"/>
        </w:rPr>
        <w:t>попозиционно</w:t>
      </w:r>
      <w:proofErr w:type="spellEnd"/>
      <w:r w:rsidRPr="00B46C95">
        <w:rPr>
          <w:snapToGrid w:val="0"/>
          <w:sz w:val="24"/>
          <w:szCs w:val="24"/>
        </w:rPr>
        <w:t>.</w:t>
      </w:r>
    </w:p>
    <w:p w:rsidR="00390223" w:rsidRDefault="00390223" w:rsidP="00390223">
      <w:pPr>
        <w:ind w:firstLine="709"/>
        <w:contextualSpacing/>
        <w:jc w:val="both"/>
        <w:rPr>
          <w:rFonts w:eastAsia="Calibri"/>
          <w:color w:val="000000"/>
          <w:sz w:val="24"/>
          <w:szCs w:val="24"/>
          <w:lang w:eastAsia="en-US"/>
        </w:rPr>
      </w:pPr>
      <w:r>
        <w:rPr>
          <w:rFonts w:eastAsia="Calibri"/>
          <w:color w:val="000000"/>
          <w:sz w:val="24"/>
          <w:szCs w:val="24"/>
          <w:lang w:eastAsia="en-US"/>
        </w:rPr>
        <w:lastRenderedPageBreak/>
        <w:t xml:space="preserve">15. </w:t>
      </w:r>
      <w:r w:rsidRPr="00B46C95">
        <w:rPr>
          <w:snapToGrid w:val="0"/>
          <w:sz w:val="24"/>
          <w:szCs w:val="24"/>
        </w:rPr>
        <w:t>В локальных сметах указывать величину накладных расходов по видам строительных, ремонтно-строительных, монтажных и пусконаладочных работ, на основании нормативных документов, внесенных в Федеральный реестр сметных нормативов.</w:t>
      </w:r>
    </w:p>
    <w:p w:rsidR="00390223" w:rsidRDefault="00390223" w:rsidP="00390223">
      <w:pPr>
        <w:ind w:firstLine="709"/>
        <w:contextualSpacing/>
        <w:jc w:val="both"/>
        <w:rPr>
          <w:rFonts w:eastAsia="Calibri"/>
          <w:color w:val="000000"/>
          <w:sz w:val="24"/>
          <w:szCs w:val="24"/>
          <w:lang w:eastAsia="en-US"/>
        </w:rPr>
      </w:pPr>
      <w:r>
        <w:rPr>
          <w:rFonts w:eastAsia="Calibri"/>
          <w:color w:val="000000"/>
          <w:sz w:val="24"/>
          <w:szCs w:val="24"/>
          <w:lang w:eastAsia="en-US"/>
        </w:rPr>
        <w:t xml:space="preserve">16. </w:t>
      </w:r>
      <w:r w:rsidRPr="00B46C95">
        <w:rPr>
          <w:rFonts w:eastAsia="Calibri"/>
          <w:color w:val="000000"/>
          <w:sz w:val="24"/>
          <w:szCs w:val="24"/>
          <w:lang w:eastAsia="en-US"/>
        </w:rPr>
        <w:t xml:space="preserve">Выходные формы сметных расчетов должны соответствовать выходным шаблонам ПК «Гранд-Смета» для смет: составленных по единичным расценкам базисно-индексным методом – «Полный локальный сметный расчет (полная форма; только в MS </w:t>
      </w:r>
      <w:proofErr w:type="spellStart"/>
      <w:r w:rsidRPr="00B46C95">
        <w:rPr>
          <w:rFonts w:eastAsia="Calibri"/>
          <w:color w:val="000000"/>
          <w:sz w:val="24"/>
          <w:szCs w:val="24"/>
          <w:lang w:eastAsia="en-US"/>
        </w:rPr>
        <w:t>Excel</w:t>
      </w:r>
      <w:proofErr w:type="spellEnd"/>
      <w:r w:rsidRPr="00B46C95">
        <w:rPr>
          <w:rFonts w:eastAsia="Calibri"/>
          <w:color w:val="000000"/>
          <w:sz w:val="24"/>
          <w:szCs w:val="24"/>
          <w:lang w:eastAsia="en-US"/>
        </w:rPr>
        <w:t>)».</w:t>
      </w:r>
    </w:p>
    <w:p w:rsidR="00390223" w:rsidRDefault="00390223" w:rsidP="00390223">
      <w:pPr>
        <w:ind w:firstLine="709"/>
        <w:contextualSpacing/>
        <w:jc w:val="both"/>
        <w:rPr>
          <w:rFonts w:eastAsia="Calibri"/>
          <w:color w:val="000000"/>
          <w:sz w:val="24"/>
          <w:szCs w:val="24"/>
          <w:lang w:eastAsia="en-US"/>
        </w:rPr>
      </w:pPr>
      <w:r>
        <w:rPr>
          <w:rFonts w:eastAsia="Calibri"/>
          <w:color w:val="000000"/>
          <w:sz w:val="24"/>
          <w:szCs w:val="24"/>
          <w:lang w:eastAsia="en-US"/>
        </w:rPr>
        <w:t xml:space="preserve">17. </w:t>
      </w:r>
      <w:r w:rsidRPr="00B46C95">
        <w:rPr>
          <w:rFonts w:eastAsia="Calibri"/>
          <w:color w:val="000000"/>
          <w:sz w:val="24"/>
          <w:szCs w:val="24"/>
          <w:lang w:eastAsia="en-US"/>
        </w:rPr>
        <w:t>В сметных расчетах при исключении и добавлении ресурсов (материалов) необходимо данные ресурсы относить в отдельную позицию, не допускается изменение внутри расценки.</w:t>
      </w:r>
    </w:p>
    <w:p w:rsidR="00390223" w:rsidRPr="00B46C95" w:rsidRDefault="00390223" w:rsidP="00390223">
      <w:pPr>
        <w:ind w:firstLine="709"/>
        <w:contextualSpacing/>
        <w:jc w:val="both"/>
        <w:rPr>
          <w:rFonts w:eastAsia="Calibri"/>
          <w:color w:val="000000"/>
          <w:sz w:val="24"/>
          <w:szCs w:val="24"/>
          <w:lang w:eastAsia="en-US"/>
        </w:rPr>
      </w:pPr>
      <w:r>
        <w:rPr>
          <w:rFonts w:eastAsia="Calibri"/>
          <w:color w:val="000000"/>
          <w:sz w:val="24"/>
          <w:szCs w:val="24"/>
          <w:lang w:eastAsia="en-US"/>
        </w:rPr>
        <w:t xml:space="preserve">18. </w:t>
      </w:r>
      <w:r w:rsidRPr="00B46C95">
        <w:rPr>
          <w:rFonts w:eastAsia="Calibri"/>
          <w:color w:val="000000"/>
          <w:sz w:val="24"/>
          <w:szCs w:val="24"/>
          <w:lang w:eastAsia="en-US"/>
        </w:rPr>
        <w:t>Сметная документация должна быть представлена в двух вариантах:</w:t>
      </w:r>
    </w:p>
    <w:p w:rsidR="00390223" w:rsidRPr="00B46C95" w:rsidRDefault="00390223" w:rsidP="00390223">
      <w:pPr>
        <w:numPr>
          <w:ilvl w:val="0"/>
          <w:numId w:val="2"/>
        </w:numPr>
        <w:tabs>
          <w:tab w:val="num" w:pos="851"/>
        </w:tabs>
        <w:ind w:left="0" w:firstLine="567"/>
        <w:contextualSpacing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B46C95">
        <w:rPr>
          <w:rFonts w:eastAsia="Calibri"/>
          <w:color w:val="000000"/>
          <w:sz w:val="24"/>
          <w:szCs w:val="24"/>
          <w:lang w:eastAsia="en-US"/>
        </w:rPr>
        <w:t xml:space="preserve">на бумажном носителе (количество указано в закупочной документации) </w:t>
      </w:r>
    </w:p>
    <w:p w:rsidR="00390223" w:rsidRPr="00B46C95" w:rsidRDefault="00390223" w:rsidP="00390223">
      <w:pPr>
        <w:pStyle w:val="a3"/>
        <w:ind w:left="0" w:firstLine="567"/>
        <w:jc w:val="both"/>
        <w:rPr>
          <w:b/>
        </w:rPr>
      </w:pPr>
      <w:r w:rsidRPr="00B46C95">
        <w:rPr>
          <w:color w:val="000000"/>
          <w:lang w:eastAsia="en-US"/>
        </w:rPr>
        <w:t>на электронном носителе (в формате «</w:t>
      </w:r>
      <w:proofErr w:type="spellStart"/>
      <w:r w:rsidRPr="00B46C95">
        <w:rPr>
          <w:color w:val="000000"/>
          <w:lang w:eastAsia="en-US"/>
        </w:rPr>
        <w:t>xml</w:t>
      </w:r>
      <w:proofErr w:type="spellEnd"/>
      <w:r w:rsidRPr="00B46C95">
        <w:rPr>
          <w:color w:val="000000"/>
          <w:lang w:eastAsia="en-US"/>
        </w:rPr>
        <w:t xml:space="preserve">» ПК «Гранд-Смета» и </w:t>
      </w:r>
      <w:proofErr w:type="spellStart"/>
      <w:r w:rsidRPr="00B46C95">
        <w:rPr>
          <w:color w:val="000000"/>
          <w:lang w:eastAsia="en-US"/>
        </w:rPr>
        <w:t>Excel</w:t>
      </w:r>
      <w:proofErr w:type="spellEnd"/>
      <w:r w:rsidRPr="00B46C95">
        <w:rPr>
          <w:color w:val="000000"/>
          <w:lang w:eastAsia="en-US"/>
        </w:rPr>
        <w:t>), полностью соответствующему, бумажному варианту.</w:t>
      </w:r>
    </w:p>
    <w:bookmarkEnd w:id="2"/>
    <w:p w:rsidR="00EF4B3D" w:rsidRDefault="008331AD"/>
    <w:sectPr w:rsidR="00EF4B3D" w:rsidSect="00F05F22">
      <w:pgSz w:w="11907" w:h="16839" w:code="9"/>
      <w:pgMar w:top="1134" w:right="726" w:bottom="1134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4703B7"/>
    <w:multiLevelType w:val="hybridMultilevel"/>
    <w:tmpl w:val="53FC451E"/>
    <w:lvl w:ilvl="0" w:tplc="6E50762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D322B4"/>
    <w:multiLevelType w:val="multilevel"/>
    <w:tmpl w:val="00E6F294"/>
    <w:lvl w:ilvl="0">
      <w:start w:val="1"/>
      <w:numFmt w:val="decimal"/>
      <w:pStyle w:val="1"/>
      <w:lvlText w:val="%1."/>
      <w:lvlJc w:val="left"/>
      <w:pPr>
        <w:ind w:left="5038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4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A181020"/>
    <w:multiLevelType w:val="hybridMultilevel"/>
    <w:tmpl w:val="CC904D06"/>
    <w:lvl w:ilvl="0" w:tplc="84FC4BC8">
      <w:start w:val="1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0223"/>
    <w:rsid w:val="001D66D0"/>
    <w:rsid w:val="00306EBE"/>
    <w:rsid w:val="0033156C"/>
    <w:rsid w:val="00390223"/>
    <w:rsid w:val="008331AD"/>
    <w:rsid w:val="009F3026"/>
    <w:rsid w:val="00F05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E3BBF"/>
  <w15:chartTrackingRefBased/>
  <w15:docId w15:val="{B86F61FA-271B-49CD-A31D-7C23913FE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022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3"/>
    <w:next w:val="a"/>
    <w:link w:val="10"/>
    <w:qFormat/>
    <w:rsid w:val="00390223"/>
    <w:pPr>
      <w:numPr>
        <w:ilvl w:val="0"/>
      </w:numPr>
      <w:outlineLvl w:val="0"/>
    </w:pPr>
    <w:rPr>
      <w:sz w:val="28"/>
      <w:szCs w:val="28"/>
    </w:rPr>
  </w:style>
  <w:style w:type="paragraph" w:styleId="3">
    <w:name w:val="heading 3"/>
    <w:aliases w:val="H3"/>
    <w:basedOn w:val="a"/>
    <w:next w:val="a"/>
    <w:link w:val="30"/>
    <w:autoRedefine/>
    <w:qFormat/>
    <w:rsid w:val="00390223"/>
    <w:pPr>
      <w:keepNext/>
      <w:numPr>
        <w:ilvl w:val="2"/>
        <w:numId w:val="1"/>
      </w:numPr>
      <w:spacing w:before="120" w:after="60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4">
    <w:name w:val="heading 4"/>
    <w:aliases w:val="H4"/>
    <w:basedOn w:val="3"/>
    <w:next w:val="a"/>
    <w:link w:val="40"/>
    <w:qFormat/>
    <w:rsid w:val="00390223"/>
    <w:pPr>
      <w:numPr>
        <w:ilvl w:val="1"/>
      </w:numPr>
      <w:outlineLvl w:val="3"/>
    </w:pPr>
    <w:rPr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0"/>
    <w:link w:val="1"/>
    <w:rsid w:val="00390223"/>
    <w:rPr>
      <w:rFonts w:ascii="Times New Roman" w:eastAsia="Calibri" w:hAnsi="Times New Roman" w:cs="Times New Roman"/>
      <w:b/>
      <w:sz w:val="28"/>
      <w:szCs w:val="28"/>
      <w:lang w:val="x-none" w:eastAsia="x-none"/>
    </w:rPr>
  </w:style>
  <w:style w:type="character" w:customStyle="1" w:styleId="30">
    <w:name w:val="Заголовок 3 Знак"/>
    <w:aliases w:val="H3 Знак"/>
    <w:basedOn w:val="a0"/>
    <w:link w:val="3"/>
    <w:rsid w:val="00390223"/>
    <w:rPr>
      <w:rFonts w:ascii="Times New Roman" w:eastAsia="Calibri" w:hAnsi="Times New Roman" w:cs="Times New Roman"/>
      <w:b/>
      <w:sz w:val="24"/>
      <w:szCs w:val="24"/>
      <w:lang w:val="x-none" w:eastAsia="x-none"/>
    </w:rPr>
  </w:style>
  <w:style w:type="character" w:customStyle="1" w:styleId="40">
    <w:name w:val="Заголовок 4 Знак"/>
    <w:aliases w:val="H4 Знак"/>
    <w:basedOn w:val="a0"/>
    <w:link w:val="4"/>
    <w:rsid w:val="00390223"/>
    <w:rPr>
      <w:rFonts w:ascii="Times New Roman" w:eastAsia="Calibri" w:hAnsi="Times New Roman" w:cs="Times New Roman"/>
      <w:b/>
      <w:bCs/>
      <w:sz w:val="24"/>
      <w:szCs w:val="24"/>
      <w:lang w:val="x-none" w:eastAsia="x-none"/>
    </w:rPr>
  </w:style>
  <w:style w:type="paragraph" w:styleId="a3">
    <w:name w:val="List Paragraph"/>
    <w:aliases w:val="Table-Normal,RSHB_Table-Normal,Заголовок_3,Подпись рисунка,Алроса_маркер (Уровень 4),Маркер,ПАРАГРАФ,Абзац списка2,ТТ_Требование"/>
    <w:basedOn w:val="a"/>
    <w:link w:val="a4"/>
    <w:uiPriority w:val="34"/>
    <w:qFormat/>
    <w:rsid w:val="00390223"/>
    <w:pPr>
      <w:ind w:left="720"/>
      <w:contextualSpacing/>
    </w:pPr>
    <w:rPr>
      <w:rFonts w:eastAsia="Calibri"/>
      <w:sz w:val="24"/>
      <w:szCs w:val="24"/>
    </w:rPr>
  </w:style>
  <w:style w:type="character" w:customStyle="1" w:styleId="a4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,ТТ_Требование Знак"/>
    <w:link w:val="a3"/>
    <w:uiPriority w:val="34"/>
    <w:locked/>
    <w:rsid w:val="00390223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1184</Words>
  <Characters>6749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Князева Екатерина Николаевна</dc:creator>
  <cp:keywords/>
  <dc:description/>
  <cp:lastModifiedBy>Ирдуганова Ирина Николаевна</cp:lastModifiedBy>
  <cp:revision>3</cp:revision>
  <dcterms:created xsi:type="dcterms:W3CDTF">2023-01-19T23:25:00Z</dcterms:created>
  <dcterms:modified xsi:type="dcterms:W3CDTF">2024-03-06T07:09:00Z</dcterms:modified>
</cp:coreProperties>
</file>